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4A422" w14:textId="77777777" w:rsidR="00046CFF" w:rsidRPr="005C088F" w:rsidRDefault="00046CFF" w:rsidP="00046CFF">
      <w:pPr>
        <w:spacing w:after="120"/>
        <w:jc w:val="center"/>
        <w:rPr>
          <w:rFonts w:ascii="PermianSerifTypeface" w:hAnsi="PermianSerifTypeface"/>
          <w:b/>
          <w:bCs/>
          <w:lang w:val="ro-MD"/>
        </w:rPr>
      </w:pPr>
      <w:r w:rsidRPr="005C088F">
        <w:rPr>
          <w:rFonts w:ascii="PermianSerifTypeface" w:hAnsi="PermianSerifTypeface"/>
          <w:b/>
          <w:bCs/>
          <w:lang w:val="ro-MD"/>
        </w:rPr>
        <w:t>COMITETUL EXECUTIV</w:t>
      </w:r>
      <w:r w:rsidRPr="005C088F">
        <w:rPr>
          <w:rFonts w:ascii="PermianSerifTypeface" w:hAnsi="PermianSerifTypeface"/>
          <w:b/>
          <w:bCs/>
          <w:lang w:val="ro-MD"/>
        </w:rPr>
        <w:br/>
        <w:t>AL BĂNCII NAȚIONALE A MOLDOVEI</w:t>
      </w:r>
    </w:p>
    <w:p w14:paraId="55696153" w14:textId="77777777" w:rsidR="00046CFF" w:rsidRPr="005C088F" w:rsidRDefault="00046CFF" w:rsidP="00046CFF">
      <w:pPr>
        <w:spacing w:after="120"/>
        <w:jc w:val="center"/>
        <w:rPr>
          <w:rFonts w:ascii="PermianSerifTypeface" w:hAnsi="PermianSerifTypeface"/>
          <w:b/>
          <w:bCs/>
          <w:lang w:val="ro-MD"/>
        </w:rPr>
      </w:pPr>
    </w:p>
    <w:p w14:paraId="46C7971A" w14:textId="77777777" w:rsidR="00046CFF" w:rsidRPr="005C088F" w:rsidRDefault="00046CFF" w:rsidP="00046CFF">
      <w:pPr>
        <w:keepNext/>
        <w:spacing w:line="360" w:lineRule="auto"/>
        <w:jc w:val="center"/>
        <w:outlineLvl w:val="0"/>
        <w:rPr>
          <w:rFonts w:ascii="PermianSerifTypeface" w:hAnsi="PermianSerifTypeface"/>
          <w:b/>
          <w:bCs/>
          <w:lang w:val="ro-MD"/>
        </w:rPr>
      </w:pPr>
      <w:r w:rsidRPr="005C088F">
        <w:rPr>
          <w:rFonts w:ascii="PermianSerifTypeface" w:hAnsi="PermianSerifTypeface"/>
          <w:b/>
          <w:bCs/>
          <w:lang w:val="ro-MD"/>
        </w:rPr>
        <w:t>HOTĂRÂREA</w:t>
      </w:r>
    </w:p>
    <w:p w14:paraId="71FC9423" w14:textId="7324BC7C" w:rsidR="00046CFF" w:rsidRPr="005C088F" w:rsidRDefault="00046CFF" w:rsidP="00046CFF">
      <w:pPr>
        <w:keepNext/>
        <w:spacing w:line="360" w:lineRule="auto"/>
        <w:jc w:val="center"/>
        <w:outlineLvl w:val="2"/>
        <w:rPr>
          <w:rFonts w:ascii="PermianSerifTypeface" w:hAnsi="PermianSerifTypeface"/>
          <w:bCs/>
          <w:lang w:val="ro-MD"/>
        </w:rPr>
      </w:pPr>
      <w:r w:rsidRPr="005C088F">
        <w:rPr>
          <w:rFonts w:ascii="PermianSerifTypeface" w:hAnsi="PermianSerifTypeface"/>
          <w:bCs/>
          <w:lang w:val="ro-MD"/>
        </w:rPr>
        <w:t xml:space="preserve">nr. </w:t>
      </w:r>
      <w:r w:rsidRPr="005C088F">
        <w:rPr>
          <w:rFonts w:ascii="PermianSerifTypeface" w:hAnsi="PermianSerifTypeface"/>
          <w:bCs/>
          <w:u w:val="single"/>
          <w:lang w:val="ro-MD"/>
        </w:rPr>
        <w:t>11</w:t>
      </w:r>
      <w:r w:rsidRPr="005C088F">
        <w:rPr>
          <w:rFonts w:ascii="PermianSerifTypeface" w:hAnsi="PermianSerifTypeface"/>
          <w:bCs/>
          <w:lang w:val="ro-MD"/>
        </w:rPr>
        <w:t xml:space="preserve"> din </w:t>
      </w:r>
      <w:r w:rsidRPr="005C088F">
        <w:rPr>
          <w:rFonts w:ascii="PermianSerifTypeface" w:hAnsi="PermianSerifTypeface"/>
          <w:bCs/>
          <w:u w:val="single"/>
          <w:lang w:val="ro-MD"/>
        </w:rPr>
        <w:t>11</w:t>
      </w:r>
      <w:r w:rsidRPr="005C088F">
        <w:rPr>
          <w:rFonts w:ascii="PermianSerifTypeface" w:hAnsi="PermianSerifTypeface"/>
          <w:bCs/>
          <w:lang w:val="ro-MD"/>
        </w:rPr>
        <w:t xml:space="preserve"> </w:t>
      </w:r>
      <w:r w:rsidRPr="005C088F">
        <w:rPr>
          <w:rFonts w:ascii="PermianSerifTypeface" w:hAnsi="PermianSerifTypeface"/>
          <w:bCs/>
          <w:u w:val="single"/>
          <w:lang w:val="ro-MD"/>
        </w:rPr>
        <w:t>ianuarie</w:t>
      </w:r>
      <w:r w:rsidRPr="005C088F">
        <w:rPr>
          <w:rFonts w:ascii="PermianSerifTypeface" w:hAnsi="PermianSerifTypeface"/>
          <w:bCs/>
          <w:lang w:val="ro-MD"/>
        </w:rPr>
        <w:t xml:space="preserve"> 20</w:t>
      </w:r>
      <w:r w:rsidRPr="005C088F">
        <w:rPr>
          <w:rFonts w:ascii="PermianSerifTypeface" w:hAnsi="PermianSerifTypeface"/>
          <w:bCs/>
          <w:u w:val="single"/>
          <w:lang w:val="ro-MD"/>
        </w:rPr>
        <w:t>24</w:t>
      </w:r>
    </w:p>
    <w:p w14:paraId="01CBFECD" w14:textId="77777777" w:rsidR="00046CFF" w:rsidRPr="005C088F" w:rsidRDefault="00046CFF" w:rsidP="00046CFF">
      <w:pPr>
        <w:jc w:val="center"/>
        <w:rPr>
          <w:rFonts w:ascii="PermianSerifTypeface" w:hAnsi="PermianSerifTypeface"/>
          <w:b/>
          <w:bCs/>
          <w:lang w:val="ro-MD"/>
        </w:rPr>
      </w:pPr>
    </w:p>
    <w:p w14:paraId="09FAAA29" w14:textId="77777777" w:rsidR="00046CFF" w:rsidRPr="005C088F" w:rsidRDefault="00046CFF" w:rsidP="00046CFF">
      <w:pPr>
        <w:ind w:left="540" w:right="354"/>
        <w:jc w:val="center"/>
        <w:rPr>
          <w:rFonts w:ascii="PermianSerifTypeface" w:hAnsi="PermianSerifTypeface"/>
          <w:b/>
          <w:bCs/>
          <w:lang w:val="ro-MD"/>
        </w:rPr>
      </w:pPr>
    </w:p>
    <w:p w14:paraId="705E9666" w14:textId="77777777" w:rsidR="00046CFF" w:rsidRDefault="00046CFF" w:rsidP="00046CFF">
      <w:pPr>
        <w:ind w:left="540" w:right="354"/>
        <w:jc w:val="center"/>
        <w:rPr>
          <w:rFonts w:ascii="PermianSerifTypeface" w:hAnsi="PermianSerifTypeface"/>
          <w:b/>
          <w:bCs/>
          <w:lang w:val="ro-MD"/>
        </w:rPr>
      </w:pPr>
      <w:r w:rsidRPr="005C088F">
        <w:rPr>
          <w:rFonts w:ascii="PermianSerifTypeface" w:hAnsi="PermianSerifTypeface"/>
          <w:b/>
          <w:bCs/>
          <w:lang w:val="ro-MD"/>
        </w:rPr>
        <w:t xml:space="preserve">Pentru aprobarea </w:t>
      </w:r>
      <w:bookmarkStart w:id="0" w:name="_Hlk133573191"/>
      <w:r w:rsidRPr="005C088F">
        <w:rPr>
          <w:rFonts w:ascii="PermianSerifTypeface" w:hAnsi="PermianSerifTypeface"/>
          <w:b/>
          <w:bCs/>
          <w:lang w:val="ro-MD"/>
        </w:rPr>
        <w:t>Regulamentului cu privire la licențierea și înregistrarea societăților de plată, a societăților emitente de monedă electronică și a furnizorilor de servicii poștale în calitate de prestatori de servicii de plată și/sau emitenți de monedă electronică</w:t>
      </w:r>
    </w:p>
    <w:p w14:paraId="006C7566" w14:textId="125B21AA" w:rsidR="008F2590" w:rsidRPr="008F2590" w:rsidRDefault="008F2590" w:rsidP="00046CFF">
      <w:pPr>
        <w:ind w:left="540" w:right="354"/>
        <w:jc w:val="center"/>
        <w:rPr>
          <w:rFonts w:ascii="PermianSerifTypeface" w:hAnsi="PermianSerifTypeface"/>
          <w:b/>
          <w:bCs/>
          <w:i/>
          <w:iCs/>
          <w:sz w:val="22"/>
          <w:szCs w:val="22"/>
        </w:rPr>
      </w:pPr>
      <w:r w:rsidRPr="008F2590">
        <w:rPr>
          <w:rFonts w:ascii="PermianSerifTypeface" w:hAnsi="PermianSerifTypeface"/>
          <w:b/>
          <w:bCs/>
          <w:i/>
          <w:iCs/>
          <w:sz w:val="22"/>
          <w:szCs w:val="22"/>
        </w:rPr>
        <w:t>(</w:t>
      </w:r>
      <w:r w:rsidRPr="008F2590">
        <w:rPr>
          <w:rFonts w:ascii="PermianSerifTypeface" w:hAnsi="PermianSerifTypeface"/>
          <w:b/>
          <w:bCs/>
          <w:i/>
          <w:iCs/>
          <w:sz w:val="22"/>
          <w:szCs w:val="22"/>
          <w:lang w:val="ro-RO"/>
        </w:rPr>
        <w:t>î</w:t>
      </w:r>
      <w:r w:rsidRPr="008F2590">
        <w:rPr>
          <w:rFonts w:ascii="PermianSerifTypeface" w:hAnsi="PermianSerifTypeface"/>
          <w:b/>
          <w:bCs/>
          <w:i/>
          <w:iCs/>
          <w:sz w:val="22"/>
          <w:szCs w:val="22"/>
        </w:rPr>
        <w:t>n vigoare din 26.01.2024, c</w:t>
      </w:r>
      <w:r>
        <w:rPr>
          <w:rFonts w:ascii="PermianSerifTypeface" w:hAnsi="PermianSerifTypeface"/>
          <w:b/>
          <w:bCs/>
          <w:i/>
          <w:iCs/>
          <w:sz w:val="22"/>
          <w:szCs w:val="22"/>
        </w:rPr>
        <w:t xml:space="preserve">u unele </w:t>
      </w:r>
      <w:r w:rsidRPr="008F2590">
        <w:rPr>
          <w:rFonts w:ascii="PermianSerifTypeface" w:hAnsi="PermianSerifTypeface"/>
          <w:b/>
          <w:bCs/>
          <w:i/>
          <w:iCs/>
          <w:sz w:val="22"/>
          <w:szCs w:val="22"/>
        </w:rPr>
        <w:t>excepți</w:t>
      </w:r>
      <w:r>
        <w:rPr>
          <w:rFonts w:ascii="PermianSerifTypeface" w:hAnsi="PermianSerifTypeface"/>
          <w:b/>
          <w:bCs/>
          <w:i/>
          <w:iCs/>
          <w:sz w:val="22"/>
          <w:szCs w:val="22"/>
        </w:rPr>
        <w:t>i prev</w:t>
      </w:r>
      <w:r>
        <w:rPr>
          <w:rFonts w:ascii="PermianSerifTypeface" w:hAnsi="PermianSerifTypeface"/>
          <w:b/>
          <w:bCs/>
          <w:i/>
          <w:iCs/>
          <w:sz w:val="22"/>
          <w:szCs w:val="22"/>
          <w:lang w:val="ro-RO"/>
        </w:rPr>
        <w:t>ă</w:t>
      </w:r>
      <w:r>
        <w:rPr>
          <w:rFonts w:ascii="PermianSerifTypeface" w:hAnsi="PermianSerifTypeface"/>
          <w:b/>
          <w:bCs/>
          <w:i/>
          <w:iCs/>
          <w:sz w:val="22"/>
          <w:szCs w:val="22"/>
        </w:rPr>
        <w:t>zute la</w:t>
      </w:r>
      <w:r w:rsidRPr="008F2590">
        <w:rPr>
          <w:rFonts w:ascii="PermianSerifTypeface" w:hAnsi="PermianSerifTypeface"/>
          <w:b/>
          <w:bCs/>
          <w:i/>
          <w:iCs/>
          <w:sz w:val="22"/>
          <w:szCs w:val="22"/>
        </w:rPr>
        <w:t xml:space="preserve"> pct. 3) </w:t>
      </w:r>
    </w:p>
    <w:p w14:paraId="685E6F38" w14:textId="77777777" w:rsidR="008F2590" w:rsidRDefault="008F2590" w:rsidP="005629CF">
      <w:pPr>
        <w:ind w:right="354"/>
        <w:rPr>
          <w:rStyle w:val="Emphasis"/>
          <w:rFonts w:ascii="PT Serif" w:hAnsi="PT Serif"/>
          <w:color w:val="A6A6A6" w:themeColor="background1" w:themeShade="A6"/>
          <w:sz w:val="16"/>
          <w:szCs w:val="16"/>
          <w:shd w:val="clear" w:color="auto" w:fill="FAFAFA"/>
        </w:rPr>
      </w:pPr>
    </w:p>
    <w:p w14:paraId="3D2BC61C" w14:textId="44AE28C2" w:rsidR="005629CF" w:rsidRPr="00D60B72" w:rsidRDefault="005629CF" w:rsidP="005629CF">
      <w:pPr>
        <w:ind w:right="354"/>
        <w:rPr>
          <w:rFonts w:ascii="PermianSerifTypeface" w:hAnsi="PermianSerifTypeface"/>
          <w:b/>
          <w:bCs/>
          <w:color w:val="A6A6A6" w:themeColor="background1" w:themeShade="A6"/>
          <w:sz w:val="16"/>
          <w:szCs w:val="16"/>
          <w:lang w:val="ro-MD"/>
        </w:rPr>
      </w:pPr>
      <w:bookmarkStart w:id="1" w:name="_Hlk182821592"/>
      <w:r w:rsidRPr="00D60B72">
        <w:rPr>
          <w:rStyle w:val="Emphasis"/>
          <w:rFonts w:ascii="PT Serif" w:hAnsi="PT Serif"/>
          <w:color w:val="A6A6A6" w:themeColor="background1" w:themeShade="A6"/>
          <w:sz w:val="16"/>
          <w:szCs w:val="16"/>
          <w:shd w:val="clear" w:color="auto" w:fill="FAFAFA"/>
        </w:rPr>
        <w:t>Modificat</w:t>
      </w:r>
      <w:r w:rsidRPr="00D60B72">
        <w:rPr>
          <w:rStyle w:val="Emphasis"/>
          <w:rFonts w:ascii="PT Serif" w:hAnsi="PT Serif"/>
          <w:color w:val="A6A6A6" w:themeColor="background1" w:themeShade="A6"/>
          <w:sz w:val="16"/>
          <w:szCs w:val="16"/>
          <w:shd w:val="clear" w:color="auto" w:fill="FAFAFA"/>
          <w:lang w:val="ro-RO"/>
        </w:rPr>
        <w:t>ă</w:t>
      </w:r>
      <w:r w:rsidRPr="00D60B72">
        <w:rPr>
          <w:rStyle w:val="Emphasis"/>
          <w:rFonts w:ascii="PT Serif" w:hAnsi="PT Serif"/>
          <w:color w:val="A6A6A6" w:themeColor="background1" w:themeShade="A6"/>
          <w:sz w:val="16"/>
          <w:szCs w:val="16"/>
          <w:shd w:val="clear" w:color="auto" w:fill="FAFAFA"/>
        </w:rPr>
        <w:t xml:space="preserve"> prin:</w:t>
      </w:r>
      <w:r w:rsidRPr="00D60B72">
        <w:rPr>
          <w:rFonts w:ascii="PT Serif" w:hAnsi="PT Serif"/>
          <w:i/>
          <w:iCs/>
          <w:color w:val="A6A6A6" w:themeColor="background1" w:themeShade="A6"/>
          <w:sz w:val="16"/>
          <w:szCs w:val="16"/>
          <w:shd w:val="clear" w:color="auto" w:fill="FAFAFA"/>
        </w:rPr>
        <w:br/>
      </w:r>
      <w:r w:rsidRPr="00D60B72">
        <w:rPr>
          <w:rStyle w:val="Emphasis"/>
          <w:rFonts w:ascii="PT Serif" w:hAnsi="PT Serif"/>
          <w:color w:val="A6A6A6" w:themeColor="background1" w:themeShade="A6"/>
          <w:sz w:val="16"/>
          <w:szCs w:val="16"/>
          <w:shd w:val="clear" w:color="auto" w:fill="FAFAFA"/>
        </w:rPr>
        <w:t>HCE al BNM nr. 267 din 31 octombrie  2024, MO al RM nr.459-461 din 07.11.2024, art.872</w:t>
      </w:r>
    </w:p>
    <w:bookmarkEnd w:id="0"/>
    <w:bookmarkEnd w:id="1"/>
    <w:p w14:paraId="77BCBE07" w14:textId="77777777" w:rsidR="00046CFF" w:rsidRPr="00AE4972" w:rsidRDefault="00046CFF" w:rsidP="00046CFF">
      <w:pPr>
        <w:jc w:val="center"/>
        <w:rPr>
          <w:rFonts w:ascii="PermianSerifTypeface" w:hAnsi="PermianSerifTypeface"/>
          <w:color w:val="000000"/>
          <w:sz w:val="22"/>
          <w:szCs w:val="22"/>
          <w:lang w:val="ro-MD"/>
        </w:rPr>
      </w:pPr>
      <w:r w:rsidRPr="00AE4972">
        <w:rPr>
          <w:rFonts w:ascii="PermianSerifTypeface" w:hAnsi="PermianSerifTypeface"/>
          <w:color w:val="000000"/>
          <w:sz w:val="22"/>
          <w:szCs w:val="22"/>
          <w:lang w:val="ro-MD"/>
        </w:rPr>
        <w:t> </w:t>
      </w:r>
    </w:p>
    <w:p w14:paraId="1ED314B2" w14:textId="77777777" w:rsidR="00046CFF" w:rsidRPr="005C088F" w:rsidRDefault="00046CFF" w:rsidP="00046CFF">
      <w:pPr>
        <w:jc w:val="both"/>
        <w:rPr>
          <w:rFonts w:ascii="PermianSerifTypeface" w:hAnsi="PermianSerifTypeface" w:cs="Arial"/>
          <w:lang w:val="ro-MD"/>
        </w:rPr>
      </w:pPr>
      <w:r w:rsidRPr="005C088F">
        <w:rPr>
          <w:rFonts w:ascii="PermianSerifTypeface" w:hAnsi="PermianSerifTypeface" w:cs="Arial"/>
          <w:lang w:val="ro-MD"/>
        </w:rPr>
        <w:t>În temeiul art. 14 alin. (1) și (2), art. 17 alin. (12), art. 19 alin. (5), art. 21 alin. (3), art.23</w:t>
      </w:r>
      <w:r w:rsidRPr="005C088F">
        <w:rPr>
          <w:rFonts w:ascii="PermianSerifTypeface" w:hAnsi="PermianSerifTypeface" w:cs="Arial"/>
          <w:vertAlign w:val="superscript"/>
          <w:lang w:val="ro-MD"/>
        </w:rPr>
        <w:t>1</w:t>
      </w:r>
      <w:r w:rsidRPr="005C088F">
        <w:rPr>
          <w:rFonts w:ascii="PermianSerifTypeface" w:hAnsi="PermianSerifTypeface" w:cs="Arial"/>
          <w:lang w:val="ro-MD"/>
        </w:rPr>
        <w:t xml:space="preserve"> alin. (1), art. 84 şi art.94 alin.(1) lit. c) din Legea nr.114/2012 cu privire la serviciile de plată şi moneda electronică (Monitorul Oficial al Republicii Moldova, 2012, nr.193-197, art.661), cu modificările ulterioare, Comitetul executiv al Băncii Naționale a Moldovei</w:t>
      </w:r>
    </w:p>
    <w:p w14:paraId="22CDB7C6" w14:textId="77777777" w:rsidR="00046CFF" w:rsidRPr="005C088F" w:rsidRDefault="00046CFF" w:rsidP="00046CFF">
      <w:pPr>
        <w:rPr>
          <w:rFonts w:ascii="PermianSerifTypeface" w:hAnsi="PermianSerifTypeface"/>
          <w:color w:val="000000"/>
          <w:lang w:val="ro-MD"/>
        </w:rPr>
      </w:pPr>
    </w:p>
    <w:p w14:paraId="490FE8DE" w14:textId="77777777" w:rsidR="00046CFF" w:rsidRPr="005C088F" w:rsidRDefault="00046CFF" w:rsidP="00046CFF">
      <w:pPr>
        <w:ind w:firstLine="567"/>
        <w:jc w:val="both"/>
        <w:rPr>
          <w:rFonts w:ascii="PermianSerifTypeface" w:hAnsi="PermianSerifTypeface"/>
          <w:color w:val="000000"/>
          <w:lang w:val="ro-MD"/>
        </w:rPr>
      </w:pPr>
    </w:p>
    <w:p w14:paraId="0265607F" w14:textId="77777777" w:rsidR="00046CFF" w:rsidRPr="005C088F" w:rsidRDefault="00046CFF" w:rsidP="00046CFF">
      <w:pPr>
        <w:jc w:val="center"/>
        <w:rPr>
          <w:rFonts w:ascii="PermianSerifTypeface" w:hAnsi="PermianSerifTypeface"/>
          <w:b/>
          <w:bCs/>
          <w:color w:val="000000"/>
          <w:lang w:val="ro-MD"/>
        </w:rPr>
      </w:pPr>
      <w:r w:rsidRPr="005C088F">
        <w:rPr>
          <w:rFonts w:ascii="PermianSerifTypeface" w:hAnsi="PermianSerifTypeface"/>
          <w:b/>
          <w:bCs/>
          <w:color w:val="000000"/>
          <w:lang w:val="ro-MD"/>
        </w:rPr>
        <w:t>HOTĂRĂȘTE:</w:t>
      </w:r>
    </w:p>
    <w:p w14:paraId="0633A56F" w14:textId="77777777" w:rsidR="00046CFF" w:rsidRPr="005C088F" w:rsidRDefault="00046CFF" w:rsidP="00046CFF">
      <w:pPr>
        <w:jc w:val="center"/>
        <w:rPr>
          <w:rFonts w:ascii="PermianSerifTypeface" w:hAnsi="PermianSerifTypeface"/>
          <w:b/>
          <w:bCs/>
          <w:color w:val="000000"/>
          <w:lang w:val="ro-MD"/>
        </w:rPr>
      </w:pPr>
    </w:p>
    <w:p w14:paraId="065E36C6" w14:textId="22B32059" w:rsidR="00046CFF" w:rsidRPr="005C088F" w:rsidRDefault="00046CFF" w:rsidP="00046CFF">
      <w:pPr>
        <w:pStyle w:val="ListParagraph"/>
        <w:numPr>
          <w:ilvl w:val="0"/>
          <w:numId w:val="1"/>
        </w:numPr>
        <w:tabs>
          <w:tab w:val="left" w:pos="284"/>
        </w:tabs>
        <w:spacing w:before="120" w:after="120"/>
        <w:ind w:left="284" w:hanging="284"/>
        <w:jc w:val="both"/>
        <w:rPr>
          <w:rFonts w:ascii="PermianSerifTypeface" w:hAnsi="PermianSerifTypeface"/>
          <w:bCs/>
          <w:color w:val="000000"/>
          <w:lang w:val="ro-MD"/>
        </w:rPr>
      </w:pPr>
      <w:r w:rsidRPr="005C088F">
        <w:rPr>
          <w:rFonts w:ascii="PermianSerifTypeface" w:hAnsi="PermianSerifTypeface"/>
          <w:bCs/>
          <w:color w:val="000000"/>
          <w:lang w:val="ro-MD"/>
        </w:rPr>
        <w:t>Se aprobă Regulamentul cu privire la licențierea și înregistrarea societăților de plată, a societăților emitente de monedă electronică și a furnizorilor de servicii poștale în calitate de prestatori de servicii de plată și/sau emitenți de monedă electronică</w:t>
      </w:r>
      <w:r w:rsidRPr="005C088F" w:rsidDel="009201A9">
        <w:rPr>
          <w:rFonts w:ascii="PermianSerifTypeface" w:hAnsi="PermianSerifTypeface"/>
          <w:bCs/>
          <w:color w:val="000000"/>
          <w:lang w:val="ro-MD"/>
        </w:rPr>
        <w:t xml:space="preserve"> </w:t>
      </w:r>
      <w:r w:rsidRPr="005C088F">
        <w:rPr>
          <w:rFonts w:ascii="PermianSerifTypeface" w:hAnsi="PermianSerifTypeface"/>
          <w:bCs/>
          <w:color w:val="000000"/>
          <w:lang w:val="ro-MD"/>
        </w:rPr>
        <w:t>(</w:t>
      </w:r>
      <w:hyperlink r:id="rId5" w:history="1">
        <w:r w:rsidRPr="005C088F">
          <w:rPr>
            <w:rStyle w:val="Hyperlink"/>
            <w:rFonts w:ascii="PermianSerifTypeface" w:hAnsi="PermianSerifTypeface"/>
            <w:bCs/>
            <w:lang w:val="ro-MD"/>
          </w:rPr>
          <w:t>se ane</w:t>
        </w:r>
        <w:r w:rsidRPr="005C088F">
          <w:rPr>
            <w:rStyle w:val="Hyperlink"/>
            <w:rFonts w:ascii="PermianSerifTypeface" w:hAnsi="PermianSerifTypeface"/>
            <w:bCs/>
            <w:lang w:val="ro-MD"/>
          </w:rPr>
          <w:t>x</w:t>
        </w:r>
        <w:r w:rsidRPr="005C088F">
          <w:rPr>
            <w:rStyle w:val="Hyperlink"/>
            <w:rFonts w:ascii="PermianSerifTypeface" w:hAnsi="PermianSerifTypeface"/>
            <w:bCs/>
            <w:lang w:val="ro-MD"/>
          </w:rPr>
          <w:t>ează</w:t>
        </w:r>
      </w:hyperlink>
      <w:r w:rsidRPr="005C088F">
        <w:rPr>
          <w:rFonts w:ascii="PermianSerifTypeface" w:hAnsi="PermianSerifTypeface"/>
          <w:bCs/>
          <w:color w:val="000000"/>
          <w:lang w:val="ro-MD"/>
        </w:rPr>
        <w:t xml:space="preserve">). </w:t>
      </w:r>
    </w:p>
    <w:p w14:paraId="6767EAD0" w14:textId="77777777" w:rsidR="00046CFF" w:rsidRPr="005C088F" w:rsidRDefault="00046CFF" w:rsidP="00046CFF">
      <w:pPr>
        <w:pStyle w:val="ListParagraph"/>
        <w:numPr>
          <w:ilvl w:val="0"/>
          <w:numId w:val="1"/>
        </w:numPr>
        <w:tabs>
          <w:tab w:val="left" w:pos="284"/>
        </w:tabs>
        <w:spacing w:before="120" w:after="120"/>
        <w:ind w:left="284" w:hanging="284"/>
        <w:jc w:val="both"/>
        <w:rPr>
          <w:rFonts w:ascii="PermianSerifTypeface" w:hAnsi="PermianSerifTypeface"/>
          <w:bCs/>
          <w:color w:val="000000"/>
          <w:lang w:val="ro-MD"/>
        </w:rPr>
      </w:pPr>
      <w:r w:rsidRPr="005C088F">
        <w:rPr>
          <w:rFonts w:ascii="PermianSerifTypeface" w:hAnsi="PermianSerifTypeface"/>
          <w:bCs/>
          <w:color w:val="000000"/>
          <w:lang w:val="ro-MD"/>
        </w:rPr>
        <w:t>Se abrogă Hotărârea Comitetului executiv al Băncii Naționale a Moldovei nr. 217/2019 (Monitorul Oficial al Republicii Moldova, 2019, nr. 269-272, art. 1460), înregistrat la Ministerul Justiției al Republicii Moldova la 21 august 2019 cu nr. 1485.</w:t>
      </w:r>
    </w:p>
    <w:p w14:paraId="18A8148B" w14:textId="43311721" w:rsidR="00046CFF" w:rsidRPr="005C088F" w:rsidRDefault="00046CFF" w:rsidP="00046CFF">
      <w:pPr>
        <w:pStyle w:val="ListParagraph"/>
        <w:numPr>
          <w:ilvl w:val="0"/>
          <w:numId w:val="1"/>
        </w:numPr>
        <w:tabs>
          <w:tab w:val="left" w:pos="284"/>
        </w:tabs>
        <w:spacing w:before="120" w:after="120"/>
        <w:ind w:left="284" w:hanging="284"/>
        <w:jc w:val="both"/>
        <w:rPr>
          <w:rFonts w:ascii="PermianSerifTypeface" w:hAnsi="PermianSerifTypeface"/>
          <w:bCs/>
          <w:color w:val="000000"/>
          <w:lang w:val="ro-MD"/>
        </w:rPr>
      </w:pPr>
      <w:r w:rsidRPr="005C088F">
        <w:rPr>
          <w:rFonts w:ascii="PermianSerifTypeface" w:hAnsi="PermianSerifTypeface"/>
          <w:bCs/>
          <w:color w:val="000000"/>
          <w:lang w:val="ro-MD"/>
        </w:rPr>
        <w:t xml:space="preserve">Prezenta hotărâre intră în vigoare la data publicării în Monitorul Oficial al Republicii Moldova, cu excepția prevederilor care se referă la licențierea și înregistrarea prestatorilor de servicii de plată nebancari care prestează serviciile de plată menționate la art. 4 alin. (1) pct. 8) și 9) din Legea nr. 114/2012 cu privire la serviciile de plată și moneda electronică, care vor intra în vigoare la data de </w:t>
      </w:r>
      <w:r w:rsidR="005629CF" w:rsidRPr="005C088F">
        <w:rPr>
          <w:rFonts w:ascii="PermianSerifTypeface" w:hAnsi="PermianSerifTypeface"/>
          <w:bCs/>
          <w:color w:val="000000"/>
          <w:lang w:val="ro-MD"/>
        </w:rPr>
        <w:t>01</w:t>
      </w:r>
      <w:r w:rsidRPr="005C088F">
        <w:rPr>
          <w:rFonts w:ascii="PermianSerifTypeface" w:hAnsi="PermianSerifTypeface"/>
          <w:bCs/>
          <w:color w:val="000000"/>
          <w:lang w:val="ro-MD"/>
        </w:rPr>
        <w:t>.0</w:t>
      </w:r>
      <w:r w:rsidR="005629CF" w:rsidRPr="005C088F">
        <w:rPr>
          <w:rFonts w:ascii="PermianSerifTypeface" w:hAnsi="PermianSerifTypeface"/>
          <w:bCs/>
          <w:color w:val="000000"/>
          <w:lang w:val="ro-MD"/>
        </w:rPr>
        <w:t>2</w:t>
      </w:r>
      <w:r w:rsidRPr="005C088F">
        <w:rPr>
          <w:rFonts w:ascii="PermianSerifTypeface" w:hAnsi="PermianSerifTypeface"/>
          <w:bCs/>
          <w:color w:val="000000"/>
          <w:lang w:val="ro-MD"/>
        </w:rPr>
        <w:t>.202</w:t>
      </w:r>
      <w:r w:rsidR="005629CF" w:rsidRPr="005C088F">
        <w:rPr>
          <w:rFonts w:ascii="PermianSerifTypeface" w:hAnsi="PermianSerifTypeface"/>
          <w:bCs/>
          <w:color w:val="000000"/>
          <w:lang w:val="ro-MD"/>
        </w:rPr>
        <w:t>5</w:t>
      </w:r>
      <w:r w:rsidRPr="005C088F">
        <w:rPr>
          <w:rFonts w:ascii="PermianSerifTypeface" w:hAnsi="PermianSerifTypeface"/>
          <w:bCs/>
          <w:color w:val="000000"/>
          <w:lang w:val="ro-MD"/>
        </w:rPr>
        <w:t>.</w:t>
      </w:r>
    </w:p>
    <w:p w14:paraId="664EDA1C" w14:textId="4CCB5C7C" w:rsidR="005629CF" w:rsidRPr="005629CF" w:rsidRDefault="005629CF" w:rsidP="005629CF">
      <w:pPr>
        <w:pStyle w:val="ListParagraph"/>
        <w:tabs>
          <w:tab w:val="left" w:pos="284"/>
        </w:tabs>
        <w:spacing w:before="120" w:after="120"/>
        <w:ind w:left="284"/>
        <w:jc w:val="both"/>
        <w:rPr>
          <w:rFonts w:ascii="PermianSerifTypeface" w:hAnsi="PermianSerifTypeface"/>
          <w:bCs/>
          <w:color w:val="A6A6A6" w:themeColor="background1" w:themeShade="A6"/>
          <w:sz w:val="16"/>
          <w:szCs w:val="16"/>
        </w:rPr>
      </w:pPr>
      <w:r w:rsidRPr="005629CF">
        <w:rPr>
          <w:rFonts w:ascii="PermianSerifTypeface" w:hAnsi="PermianSerifTypeface"/>
          <w:bCs/>
          <w:color w:val="A6A6A6" w:themeColor="background1" w:themeShade="A6"/>
          <w:sz w:val="16"/>
          <w:szCs w:val="16"/>
        </w:rPr>
        <w:t>[</w:t>
      </w:r>
      <w:r>
        <w:rPr>
          <w:rFonts w:ascii="PermianSerifTypeface" w:hAnsi="PermianSerifTypeface"/>
          <w:bCs/>
          <w:color w:val="A6A6A6" w:themeColor="background1" w:themeShade="A6"/>
          <w:sz w:val="16"/>
          <w:szCs w:val="16"/>
        </w:rPr>
        <w:t>P</w:t>
      </w:r>
      <w:r w:rsidRPr="005629CF">
        <w:rPr>
          <w:rFonts w:ascii="PermianSerifTypeface" w:hAnsi="PermianSerifTypeface"/>
          <w:bCs/>
          <w:color w:val="A6A6A6" w:themeColor="background1" w:themeShade="A6"/>
          <w:sz w:val="16"/>
          <w:szCs w:val="16"/>
        </w:rPr>
        <w:t xml:space="preserve">ct. 3 modificat prin </w:t>
      </w:r>
      <w:r w:rsidRPr="005629CF">
        <w:rPr>
          <w:rFonts w:ascii="PermianSerifTypeface" w:hAnsi="PermianSerifTypeface"/>
          <w:bCs/>
          <w:color w:val="A6A6A6" w:themeColor="background1" w:themeShade="A6"/>
          <w:sz w:val="16"/>
          <w:szCs w:val="16"/>
        </w:rPr>
        <w:t>HCE al BNM nr. 267 din 31 octombrie  2024</w:t>
      </w:r>
      <w:r w:rsidRPr="005629CF">
        <w:rPr>
          <w:rFonts w:ascii="PermianSerifTypeface" w:hAnsi="PermianSerifTypeface"/>
          <w:bCs/>
          <w:color w:val="A6A6A6" w:themeColor="background1" w:themeShade="A6"/>
          <w:sz w:val="16"/>
          <w:szCs w:val="16"/>
        </w:rPr>
        <w:t>]</w:t>
      </w:r>
    </w:p>
    <w:p w14:paraId="0328E96C" w14:textId="77777777" w:rsidR="00046CFF" w:rsidRPr="005C088F" w:rsidRDefault="00046CFF" w:rsidP="00046CFF">
      <w:pPr>
        <w:pStyle w:val="ListParagraph"/>
        <w:numPr>
          <w:ilvl w:val="0"/>
          <w:numId w:val="1"/>
        </w:numPr>
        <w:tabs>
          <w:tab w:val="left" w:pos="284"/>
        </w:tabs>
        <w:spacing w:before="120" w:after="120"/>
        <w:ind w:left="284" w:hanging="284"/>
        <w:jc w:val="both"/>
        <w:rPr>
          <w:rFonts w:ascii="PermianSerifTypeface" w:hAnsi="PermianSerifTypeface"/>
          <w:bCs/>
          <w:color w:val="000000"/>
          <w:lang w:val="ro-MD"/>
        </w:rPr>
      </w:pPr>
      <w:r w:rsidRPr="005C088F">
        <w:rPr>
          <w:rFonts w:ascii="PermianSerifTypeface" w:hAnsi="PermianSerifTypeface" w:cs="Arial"/>
          <w:lang w:val="ro-MD"/>
        </w:rPr>
        <w:t>În termen de până la 6.02.2024 prestatorii de servicii de plată nebancari care dețin licența Băncii Naționale a Moldovei pentru desfășurarea activităților de prestare a serviciilor de plată şi/sau emitere a monedei electronice, eliberată în temeiul Legii nr.114/2012 cu privire la serviciile de plată şi moneda electronică, vor ajusta chestionarele, mecanismele și procedurile interne în concordanță cu prevederile prezentului regulament care intră în vigoare la data publicării în Monitorul Oficial al Republicii Moldova.</w:t>
      </w:r>
    </w:p>
    <w:p w14:paraId="538F8E4E" w14:textId="77777777" w:rsidR="00046CFF" w:rsidRPr="005C088F" w:rsidRDefault="00046CFF" w:rsidP="00046CFF">
      <w:pPr>
        <w:pStyle w:val="ListParagraph"/>
        <w:numPr>
          <w:ilvl w:val="0"/>
          <w:numId w:val="1"/>
        </w:numPr>
        <w:tabs>
          <w:tab w:val="left" w:pos="284"/>
        </w:tabs>
        <w:spacing w:before="120" w:after="120"/>
        <w:ind w:left="284" w:hanging="284"/>
        <w:jc w:val="both"/>
        <w:rPr>
          <w:rFonts w:ascii="PermianSerifTypeface" w:hAnsi="PermianSerifTypeface"/>
          <w:bCs/>
          <w:color w:val="000000"/>
          <w:lang w:val="ro-MD"/>
        </w:rPr>
      </w:pPr>
      <w:r w:rsidRPr="005C088F">
        <w:rPr>
          <w:rFonts w:ascii="PermianSerifTypeface" w:hAnsi="PermianSerifTypeface"/>
          <w:bCs/>
          <w:color w:val="000000"/>
          <w:lang w:val="ro-MD"/>
        </w:rPr>
        <w:lastRenderedPageBreak/>
        <w:t>În termen de 3 luni de la data intrării în vigoare a prezentei hotărâri, prestatorii de servicii de plată nebancari care dețin licența Băncii Naționale a Moldovei pentru desfășurarea activităților de prestare a serviciilor de plată și/sau emitere a monedei electronice, eliberată în temeiul Legii nr. 114/2012 cu privire la serviciile de plată și moneda electronică, vor identifica persoanele care dețin funcții-cheie și vor asigura conformarea cadrului de gestiune a prestatorilor de servicii de plată nebancari cu exigențele legale.</w:t>
      </w:r>
    </w:p>
    <w:p w14:paraId="45531769" w14:textId="77777777" w:rsidR="00046CFF" w:rsidRPr="00AE4972" w:rsidRDefault="00046CFF" w:rsidP="00046CFF">
      <w:pPr>
        <w:spacing w:after="120"/>
        <w:jc w:val="center"/>
        <w:rPr>
          <w:rStyle w:val="Strong"/>
          <w:rFonts w:ascii="PermianSerifTypeface" w:hAnsi="PermianSerifTypeface"/>
          <w:color w:val="56534F"/>
          <w:sz w:val="22"/>
          <w:szCs w:val="22"/>
          <w:shd w:val="clear" w:color="auto" w:fill="FAFAFA"/>
          <w:lang w:val="ro-MD"/>
        </w:rPr>
      </w:pPr>
    </w:p>
    <w:p w14:paraId="78A359FD" w14:textId="77777777" w:rsidR="008773E9" w:rsidRPr="00046CFF" w:rsidRDefault="008773E9">
      <w:pPr>
        <w:rPr>
          <w:lang w:val="ro-MD"/>
        </w:rPr>
      </w:pPr>
    </w:p>
    <w:sectPr w:rsidR="008773E9" w:rsidRPr="00046C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PT Serif">
    <w:charset w:val="CC"/>
    <w:family w:val="roman"/>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104FB"/>
    <w:multiLevelType w:val="hybridMultilevel"/>
    <w:tmpl w:val="0E94A648"/>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96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92"/>
    <w:rsid w:val="00046CFF"/>
    <w:rsid w:val="00385BE8"/>
    <w:rsid w:val="005629CF"/>
    <w:rsid w:val="005C088F"/>
    <w:rsid w:val="008773E9"/>
    <w:rsid w:val="0088381B"/>
    <w:rsid w:val="008F2590"/>
    <w:rsid w:val="00BF3F92"/>
    <w:rsid w:val="00D60B7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6013"/>
  <w15:chartTrackingRefBased/>
  <w15:docId w15:val="{F4BFD67B-FEDC-4087-B7CF-7B481971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CFF"/>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46CFF"/>
    <w:rPr>
      <w:b/>
      <w:bCs/>
    </w:rPr>
  </w:style>
  <w:style w:type="paragraph" w:styleId="ListParagraph">
    <w:name w:val="List Paragraph"/>
    <w:basedOn w:val="Normal"/>
    <w:uiPriority w:val="34"/>
    <w:qFormat/>
    <w:rsid w:val="00046CFF"/>
    <w:pPr>
      <w:ind w:left="720"/>
      <w:contextualSpacing/>
    </w:pPr>
  </w:style>
  <w:style w:type="character" w:styleId="Emphasis">
    <w:name w:val="Emphasis"/>
    <w:basedOn w:val="DefaultParagraphFont"/>
    <w:uiPriority w:val="20"/>
    <w:qFormat/>
    <w:rsid w:val="005629CF"/>
    <w:rPr>
      <w:i/>
      <w:iCs/>
    </w:rPr>
  </w:style>
  <w:style w:type="character" w:styleId="Hyperlink">
    <w:name w:val="Hyperlink"/>
    <w:basedOn w:val="DefaultParagraphFont"/>
    <w:uiPriority w:val="99"/>
    <w:unhideWhenUsed/>
    <w:rsid w:val="00D60B72"/>
    <w:rPr>
      <w:color w:val="0563C1" w:themeColor="hyperlink"/>
      <w:u w:val="single"/>
    </w:rPr>
  </w:style>
  <w:style w:type="character" w:styleId="UnresolvedMention">
    <w:name w:val="Unresolved Mention"/>
    <w:basedOn w:val="DefaultParagraphFont"/>
    <w:uiPriority w:val="99"/>
    <w:semiHidden/>
    <w:unhideWhenUsed/>
    <w:rsid w:val="00D60B72"/>
    <w:rPr>
      <w:color w:val="605E5C"/>
      <w:shd w:val="clear" w:color="auto" w:fill="E1DFDD"/>
    </w:rPr>
  </w:style>
  <w:style w:type="character" w:styleId="FollowedHyperlink">
    <w:name w:val="FollowedHyperlink"/>
    <w:basedOn w:val="DefaultParagraphFont"/>
    <w:uiPriority w:val="99"/>
    <w:semiHidden/>
    <w:unhideWhenUsed/>
    <w:rsid w:val="00D60B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https://www.bnm.md/ro/content/regulamentul-cu-privire-la-licentierea-si-inregistrarea-societatilor-de-plata-societatilor" TargetMode="External" Type="http://schemas.openxmlformats.org/officeDocument/2006/relationships/hyperlink"/><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460</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2024-11-18T08:52:00Z</dcterms:created>
  <dcterms:modified xsi:type="dcterms:W3CDTF">2024-11-18T09:32:00Z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da8d96c4-f9e9-46ce-827e-c3b38f43df18</vt:lpwstr>
  </property>
  <property fmtid="{D5CDD505-2E9C-101B-9397-08002B2CF9AE}" pid="3" name="MSIP_Label_38962dcf-d39f-4edc-a396-338a56ba9170_Enabled">
    <vt:lpwstr>true</vt:lpwstr>
  </property>
  <property fmtid="{D5CDD505-2E9C-101B-9397-08002B2CF9AE}" pid="4" name="MSIP_Label_38962dcf-d39f-4edc-a396-338a56ba9170_SetDate">
    <vt:lpwstr>2024-11-18T08:52:09Z</vt:lpwstr>
  </property>
  <property fmtid="{D5CDD505-2E9C-101B-9397-08002B2CF9AE}" pid="5" name="MSIP_Label_38962dcf-d39f-4edc-a396-338a56ba9170_Method">
    <vt:lpwstr>Privileged</vt:lpwstr>
  </property>
  <property fmtid="{D5CDD505-2E9C-101B-9397-08002B2CF9AE}" pid="6" name="MSIP_Label_38962dcf-d39f-4edc-a396-338a56ba9170_Name">
    <vt:lpwstr>NONE</vt:lpwstr>
  </property>
  <property fmtid="{D5CDD505-2E9C-101B-9397-08002B2CF9AE}" pid="7" name="MSIP_Label_38962dcf-d39f-4edc-a396-338a56ba9170_SiteId">
    <vt:lpwstr>5887d430-0034-4561-b771-12c77faf2fa0</vt:lpwstr>
  </property>
  <property fmtid="{D5CDD505-2E9C-101B-9397-08002B2CF9AE}" pid="8" name="MSIP_Label_38962dcf-d39f-4edc-a396-338a56ba9170_ActionId">
    <vt:lpwstr>089d9b30-2309-4dab-ad2b-a2f87d049cbd</vt:lpwstr>
  </property>
  <property fmtid="{D5CDD505-2E9C-101B-9397-08002B2CF9AE}" pid="9" name="MSIP_Label_38962dcf-d39f-4edc-a396-338a56ba9170_ContentBits">
    <vt:lpwstr>0</vt:lpwstr>
  </property>
  <property fmtid="{D5CDD505-2E9C-101B-9397-08002B2CF9AE}" pid="10" name="Clasificare">
    <vt:lpwstr>NONE</vt:lpwstr>
  </property>
</Properties>
</file>